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7E" w:rsidRPr="00C5460D" w:rsidRDefault="000D2DEE" w:rsidP="00C40876">
      <w:pPr>
        <w:jc w:val="both"/>
        <w:rPr>
          <w:rFonts w:ascii="Calibri" w:hAnsi="Calibri"/>
        </w:rPr>
      </w:pPr>
      <w:r w:rsidRPr="00E92487">
        <w:rPr>
          <w:rFonts w:ascii="Calibri" w:hAnsi="Calibri"/>
          <w:noProof/>
        </w:rPr>
        <w:drawing>
          <wp:inline distT="0" distB="0" distL="0" distR="0">
            <wp:extent cx="685800" cy="685800"/>
            <wp:effectExtent l="0" t="0" r="0" b="0"/>
            <wp:docPr id="1" name="Image 1" descr="LOGO CCSGC 20X2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CSGC 20X20C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B31" w:rsidRDefault="009622F9" w:rsidP="000B075A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C5460D">
        <w:rPr>
          <w:rFonts w:ascii="Calibri" w:hAnsi="Calibri"/>
          <w:b/>
          <w:sz w:val="24"/>
          <w:szCs w:val="24"/>
          <w:u w:val="single"/>
        </w:rPr>
        <w:t xml:space="preserve">Compte-rendu </w:t>
      </w:r>
      <w:r w:rsidR="005B6573">
        <w:rPr>
          <w:rFonts w:ascii="Calibri" w:hAnsi="Calibri"/>
          <w:b/>
          <w:sz w:val="24"/>
          <w:szCs w:val="24"/>
          <w:u w:val="single"/>
        </w:rPr>
        <w:t>réunion THD Région Grand Est</w:t>
      </w:r>
      <w:r w:rsidR="001A41A7">
        <w:rPr>
          <w:rFonts w:ascii="Calibri" w:hAnsi="Calibri"/>
          <w:b/>
          <w:sz w:val="24"/>
          <w:szCs w:val="24"/>
          <w:u w:val="single"/>
        </w:rPr>
        <w:t xml:space="preserve"> – 1</w:t>
      </w:r>
      <w:r w:rsidR="005B6573">
        <w:rPr>
          <w:rFonts w:ascii="Calibri" w:hAnsi="Calibri"/>
          <w:b/>
          <w:sz w:val="24"/>
          <w:szCs w:val="24"/>
          <w:u w:val="single"/>
        </w:rPr>
        <w:t>8</w:t>
      </w:r>
      <w:r w:rsidR="001A41A7">
        <w:rPr>
          <w:rFonts w:ascii="Calibri" w:hAnsi="Calibri"/>
          <w:b/>
          <w:sz w:val="24"/>
          <w:szCs w:val="24"/>
          <w:u w:val="single"/>
        </w:rPr>
        <w:t>/10/18</w:t>
      </w:r>
    </w:p>
    <w:p w:rsidR="001A41A7" w:rsidRDefault="001A41A7" w:rsidP="00C40876">
      <w:pPr>
        <w:jc w:val="both"/>
        <w:rPr>
          <w:rFonts w:ascii="Calibri" w:hAnsi="Calibri"/>
        </w:rPr>
      </w:pPr>
    </w:p>
    <w:p w:rsidR="001A41A7" w:rsidRDefault="001A41A7" w:rsidP="00C40876">
      <w:pPr>
        <w:jc w:val="both"/>
        <w:rPr>
          <w:rFonts w:ascii="Calibri" w:hAnsi="Calibri"/>
        </w:rPr>
      </w:pPr>
    </w:p>
    <w:p w:rsidR="00D40595" w:rsidRDefault="00D40595" w:rsidP="00C40876">
      <w:pPr>
        <w:jc w:val="both"/>
        <w:rPr>
          <w:rFonts w:asciiTheme="minorHAnsi" w:hAnsiTheme="minorHAnsi" w:cstheme="minorHAnsi"/>
          <w:u w:val="single"/>
        </w:rPr>
      </w:pPr>
    </w:p>
    <w:p w:rsidR="00D40595" w:rsidRDefault="00D40595" w:rsidP="00C40876">
      <w:pPr>
        <w:jc w:val="both"/>
        <w:rPr>
          <w:rFonts w:asciiTheme="minorHAnsi" w:hAnsiTheme="minorHAnsi" w:cstheme="minorHAnsi"/>
          <w:u w:val="single"/>
        </w:rPr>
      </w:pPr>
    </w:p>
    <w:p w:rsidR="005B6573" w:rsidRDefault="001A41A7" w:rsidP="005B6573">
      <w:r w:rsidRPr="000B075A">
        <w:rPr>
          <w:rFonts w:asciiTheme="minorHAnsi" w:hAnsiTheme="minorHAnsi" w:cstheme="minorHAnsi"/>
          <w:u w:val="single"/>
        </w:rPr>
        <w:t>Présents :</w:t>
      </w:r>
      <w:r w:rsidR="005B6573" w:rsidRPr="005B6573">
        <w:t xml:space="preserve"> </w:t>
      </w:r>
    </w:p>
    <w:p w:rsidR="005B6573" w:rsidRPr="005B6573" w:rsidRDefault="005B6573" w:rsidP="005B6573">
      <w:pPr>
        <w:rPr>
          <w:rFonts w:asciiTheme="minorHAnsi" w:hAnsiTheme="minorHAnsi" w:cstheme="minorHAnsi"/>
        </w:rPr>
      </w:pPr>
      <w:r w:rsidRPr="005B6573">
        <w:rPr>
          <w:rFonts w:asciiTheme="minorHAnsi" w:hAnsiTheme="minorHAnsi" w:cstheme="minorHAnsi"/>
        </w:rPr>
        <w:t>M. Franck SIEGRIST, chef du service Aménagements et usages numériques, région Grand-Est</w:t>
      </w:r>
    </w:p>
    <w:p w:rsidR="005B6573" w:rsidRPr="005B6573" w:rsidRDefault="005B6573" w:rsidP="005B6573">
      <w:pPr>
        <w:rPr>
          <w:rFonts w:asciiTheme="minorHAnsi" w:hAnsiTheme="minorHAnsi" w:cstheme="minorHAnsi"/>
        </w:rPr>
      </w:pPr>
      <w:r w:rsidRPr="005B6573">
        <w:rPr>
          <w:rFonts w:asciiTheme="minorHAnsi" w:hAnsiTheme="minorHAnsi" w:cstheme="minorHAnsi"/>
        </w:rPr>
        <w:t>M. Didier DRUON, responsable du service développement numérique, département de Meurthe-et-Moselle</w:t>
      </w:r>
    </w:p>
    <w:p w:rsidR="005B6573" w:rsidRPr="005B6573" w:rsidRDefault="005B6573" w:rsidP="005B6573">
      <w:pPr>
        <w:rPr>
          <w:rFonts w:asciiTheme="minorHAnsi" w:hAnsiTheme="minorHAnsi" w:cstheme="minorHAnsi"/>
        </w:rPr>
      </w:pPr>
      <w:r w:rsidRPr="005B6573">
        <w:rPr>
          <w:rFonts w:asciiTheme="minorHAnsi" w:hAnsiTheme="minorHAnsi" w:cstheme="minorHAnsi"/>
        </w:rPr>
        <w:t>M. Julien MASSON, responsable commercial – relations collectivités, société Losange</w:t>
      </w:r>
    </w:p>
    <w:p w:rsidR="005B6573" w:rsidRPr="005B6573" w:rsidRDefault="005B6573" w:rsidP="005B6573">
      <w:pPr>
        <w:rPr>
          <w:rFonts w:asciiTheme="minorHAnsi" w:hAnsiTheme="minorHAnsi" w:cstheme="minorHAnsi"/>
        </w:rPr>
      </w:pPr>
      <w:r w:rsidRPr="005B6573">
        <w:rPr>
          <w:rFonts w:asciiTheme="minorHAnsi" w:hAnsiTheme="minorHAnsi" w:cstheme="minorHAnsi"/>
        </w:rPr>
        <w:t>M. Claude THOMAS, Président CC Seille et Grand Couronné</w:t>
      </w:r>
    </w:p>
    <w:p w:rsidR="005B6573" w:rsidRPr="005B6573" w:rsidRDefault="005B6573" w:rsidP="005B6573">
      <w:pPr>
        <w:rPr>
          <w:rFonts w:asciiTheme="minorHAnsi" w:hAnsiTheme="minorHAnsi" w:cstheme="minorHAnsi"/>
        </w:rPr>
      </w:pPr>
      <w:r w:rsidRPr="005B6573">
        <w:rPr>
          <w:rFonts w:asciiTheme="minorHAnsi" w:hAnsiTheme="minorHAnsi" w:cstheme="minorHAnsi"/>
        </w:rPr>
        <w:t>M. Gérard ROCH, VP développement économique et numérique, CC Seille et Grand Couronné</w:t>
      </w:r>
    </w:p>
    <w:p w:rsidR="005B6573" w:rsidRPr="005B6573" w:rsidRDefault="005B6573" w:rsidP="005B6573">
      <w:pPr>
        <w:rPr>
          <w:rFonts w:asciiTheme="minorHAnsi" w:hAnsiTheme="minorHAnsi" w:cstheme="minorHAnsi"/>
        </w:rPr>
      </w:pPr>
      <w:r w:rsidRPr="005B6573">
        <w:rPr>
          <w:rFonts w:asciiTheme="minorHAnsi" w:hAnsiTheme="minorHAnsi" w:cstheme="minorHAnsi"/>
        </w:rPr>
        <w:t>Mme Pascale ROCHE, DGS CC Seille et Grand Couronné</w:t>
      </w:r>
    </w:p>
    <w:p w:rsidR="005B6573" w:rsidRPr="005B6573" w:rsidRDefault="005B6573" w:rsidP="005B6573">
      <w:pPr>
        <w:rPr>
          <w:rFonts w:asciiTheme="minorHAnsi" w:hAnsiTheme="minorHAnsi" w:cstheme="minorHAnsi"/>
        </w:rPr>
      </w:pPr>
      <w:r w:rsidRPr="005B6573">
        <w:rPr>
          <w:rFonts w:asciiTheme="minorHAnsi" w:hAnsiTheme="minorHAnsi" w:cstheme="minorHAnsi"/>
        </w:rPr>
        <w:t>M. Michaël ROSSIGNOL, DGA CC Seille et Grand Couronné</w:t>
      </w:r>
    </w:p>
    <w:p w:rsidR="005B6573" w:rsidRDefault="005B6573" w:rsidP="005B6573">
      <w:pPr>
        <w:rPr>
          <w:rFonts w:asciiTheme="minorHAnsi" w:hAnsiTheme="minorHAnsi" w:cstheme="minorHAnsi"/>
        </w:rPr>
      </w:pPr>
      <w:r w:rsidRPr="005B6573">
        <w:rPr>
          <w:rFonts w:asciiTheme="minorHAnsi" w:hAnsiTheme="minorHAnsi" w:cstheme="minorHAnsi"/>
        </w:rPr>
        <w:t>M. Nicolas FAUTH, chargé de développement économique, CC Seille et Grand Couronné</w:t>
      </w:r>
    </w:p>
    <w:p w:rsidR="005B6573" w:rsidRDefault="005B6573" w:rsidP="005B6573">
      <w:pPr>
        <w:rPr>
          <w:rFonts w:asciiTheme="minorHAnsi" w:hAnsiTheme="minorHAnsi" w:cstheme="minorHAnsi"/>
        </w:rPr>
      </w:pPr>
    </w:p>
    <w:p w:rsidR="004A6E43" w:rsidRDefault="004A6E43" w:rsidP="005B6573">
      <w:pPr>
        <w:rPr>
          <w:rFonts w:asciiTheme="minorHAnsi" w:hAnsiTheme="minorHAnsi" w:cstheme="minorHAnsi"/>
        </w:rPr>
      </w:pPr>
    </w:p>
    <w:p w:rsidR="005B6573" w:rsidRDefault="005B6573" w:rsidP="00DB11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La région Grand Est s’est engagé</w:t>
      </w:r>
      <w:r w:rsidR="00CC2CB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sur le déploiement du Très Haut Débit sur sept départements (Meurthe-et-Moselle, Vosges, Meuse, Marne, Haute-Marne, Ardennes, Aube), par le biais d’une concession unique attribuée à la société Losange. Cette concession</w:t>
      </w:r>
      <w:r w:rsidR="007C60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prévoit un déploiement de la fibre optique jusqu’à l’habitant (dite FTTH) sur tout le territoire pour 2023 ; les travaux dans les</w:t>
      </w:r>
      <w:r w:rsidR="007C6047">
        <w:rPr>
          <w:rFonts w:asciiTheme="minorHAnsi" w:hAnsiTheme="minorHAnsi" w:cstheme="minorHAnsi"/>
        </w:rPr>
        <w:t xml:space="preserve"> toutes</w:t>
      </w:r>
      <w:r>
        <w:rPr>
          <w:rFonts w:asciiTheme="minorHAnsi" w:hAnsiTheme="minorHAnsi" w:cstheme="minorHAnsi"/>
        </w:rPr>
        <w:t xml:space="preserve"> communes dites prioritaires </w:t>
      </w:r>
      <w:r w:rsidR="00392F90">
        <w:rPr>
          <w:rFonts w:asciiTheme="minorHAnsi" w:hAnsiTheme="minorHAnsi" w:cstheme="minorHAnsi"/>
        </w:rPr>
        <w:t xml:space="preserve">(21 communes sur Seille et Grand Couronné) </w:t>
      </w:r>
      <w:r>
        <w:rPr>
          <w:rFonts w:asciiTheme="minorHAnsi" w:hAnsiTheme="minorHAnsi" w:cstheme="minorHAnsi"/>
        </w:rPr>
        <w:t xml:space="preserve">seront lancées avant 2020. </w:t>
      </w:r>
    </w:p>
    <w:p w:rsidR="005B6573" w:rsidRDefault="005B6573" w:rsidP="00DB1195">
      <w:pPr>
        <w:jc w:val="both"/>
        <w:rPr>
          <w:rFonts w:asciiTheme="minorHAnsi" w:hAnsiTheme="minorHAnsi" w:cstheme="minorHAnsi"/>
        </w:rPr>
      </w:pPr>
    </w:p>
    <w:p w:rsidR="00CC2CB9" w:rsidRDefault="00CC2CB9" w:rsidP="00DB1195">
      <w:pPr>
        <w:jc w:val="both"/>
        <w:rPr>
          <w:rFonts w:asciiTheme="minorHAnsi" w:hAnsiTheme="minorHAnsi" w:cstheme="minorHAnsi"/>
        </w:rPr>
      </w:pPr>
    </w:p>
    <w:p w:rsidR="005B6573" w:rsidRPr="009D67F3" w:rsidRDefault="005B6573" w:rsidP="00DB1195">
      <w:pPr>
        <w:jc w:val="both"/>
        <w:rPr>
          <w:rFonts w:asciiTheme="minorHAnsi" w:hAnsiTheme="minorHAnsi" w:cstheme="minorHAnsi"/>
          <w:b/>
          <w:u w:val="single"/>
        </w:rPr>
      </w:pPr>
      <w:r w:rsidRPr="009D67F3">
        <w:rPr>
          <w:rFonts w:asciiTheme="minorHAnsi" w:hAnsiTheme="minorHAnsi" w:cstheme="minorHAnsi"/>
          <w:b/>
          <w:u w:val="single"/>
        </w:rPr>
        <w:t>Le déroulement des</w:t>
      </w:r>
      <w:r w:rsidR="004A6E43" w:rsidRPr="009D67F3">
        <w:rPr>
          <w:rFonts w:asciiTheme="minorHAnsi" w:hAnsiTheme="minorHAnsi" w:cstheme="minorHAnsi"/>
          <w:b/>
          <w:u w:val="single"/>
        </w:rPr>
        <w:t xml:space="preserve"> </w:t>
      </w:r>
      <w:r w:rsidRPr="009D67F3">
        <w:rPr>
          <w:rFonts w:asciiTheme="minorHAnsi" w:hAnsiTheme="minorHAnsi" w:cstheme="minorHAnsi"/>
          <w:b/>
          <w:u w:val="single"/>
        </w:rPr>
        <w:t>travaux</w:t>
      </w:r>
    </w:p>
    <w:p w:rsidR="00CC2CB9" w:rsidRDefault="00CC2CB9" w:rsidP="00DB1195">
      <w:pPr>
        <w:jc w:val="both"/>
        <w:rPr>
          <w:rFonts w:asciiTheme="minorHAnsi" w:hAnsiTheme="minorHAnsi" w:cstheme="minorHAnsi"/>
        </w:rPr>
      </w:pPr>
    </w:p>
    <w:p w:rsidR="004A6E43" w:rsidRDefault="004A6E43" w:rsidP="00DB11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délais mentionnés ci-dessus concernent les travaux sur le domaine public. Le raccordement chez l’habitant ne se fera qu’</w:t>
      </w:r>
      <w:r w:rsidR="00392F90">
        <w:rPr>
          <w:rFonts w:asciiTheme="minorHAnsi" w:hAnsiTheme="minorHAnsi" w:cstheme="minorHAnsi"/>
        </w:rPr>
        <w:t>après</w:t>
      </w:r>
      <w:r>
        <w:rPr>
          <w:rFonts w:asciiTheme="minorHAnsi" w:hAnsiTheme="minorHAnsi" w:cstheme="minorHAnsi"/>
        </w:rPr>
        <w:t xml:space="preserve"> la souscription d’un abonnement, et à titre gratuit</w:t>
      </w:r>
      <w:r w:rsidR="00DB1195">
        <w:rPr>
          <w:rFonts w:asciiTheme="minorHAnsi" w:hAnsiTheme="minorHAnsi" w:cstheme="minorHAnsi"/>
        </w:rPr>
        <w:t xml:space="preserve"> durant toute la durée de la concession (c’est-à-dire jusqu’en 2052)</w:t>
      </w:r>
      <w:r>
        <w:rPr>
          <w:rFonts w:asciiTheme="minorHAnsi" w:hAnsiTheme="minorHAnsi" w:cstheme="minorHAnsi"/>
        </w:rPr>
        <w:t>.</w:t>
      </w:r>
    </w:p>
    <w:p w:rsidR="004A6E43" w:rsidRDefault="004A6E43" w:rsidP="00DB11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opérations sur une commune prendront de 8 à 14 mois, hors imprévus. Ce délai comprend les études, les travaux, ainsi qu’un délai légal de 3 mois pour que les opérateurs puissent communiquer sur leurs offres (des réunions publiques seront organisées durant ce dernier temps</w:t>
      </w:r>
      <w:r w:rsidR="00CC2CB9">
        <w:rPr>
          <w:rFonts w:asciiTheme="minorHAnsi" w:hAnsiTheme="minorHAnsi" w:cstheme="minorHAnsi"/>
        </w:rPr>
        <w:t xml:space="preserve"> pour informer les habitants</w:t>
      </w:r>
      <w:r>
        <w:rPr>
          <w:rFonts w:asciiTheme="minorHAnsi" w:hAnsiTheme="minorHAnsi" w:cstheme="minorHAnsi"/>
        </w:rPr>
        <w:t>).</w:t>
      </w:r>
    </w:p>
    <w:p w:rsidR="00CC2CB9" w:rsidRDefault="00CC2CB9" w:rsidP="00DB1195">
      <w:pPr>
        <w:jc w:val="both"/>
        <w:rPr>
          <w:rFonts w:asciiTheme="minorHAnsi" w:hAnsiTheme="minorHAnsi" w:cstheme="minorHAnsi"/>
        </w:rPr>
      </w:pPr>
    </w:p>
    <w:p w:rsidR="00392F90" w:rsidRDefault="00E57CAB" w:rsidP="00DB11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392F90">
        <w:rPr>
          <w:rFonts w:asciiTheme="minorHAnsi" w:hAnsiTheme="minorHAnsi" w:cstheme="minorHAnsi"/>
        </w:rPr>
        <w:t>es communes seront l’interlocuteur principal de l</w:t>
      </w:r>
      <w:r>
        <w:rPr>
          <w:rFonts w:asciiTheme="minorHAnsi" w:hAnsiTheme="minorHAnsi" w:cstheme="minorHAnsi"/>
        </w:rPr>
        <w:t>osange</w:t>
      </w:r>
      <w:r w:rsidRPr="009D67F3">
        <w:rPr>
          <w:rFonts w:asciiTheme="minorHAnsi" w:hAnsiTheme="minorHAnsi" w:cstheme="minorHAnsi"/>
        </w:rPr>
        <w:t>.</w:t>
      </w:r>
      <w:r w:rsidRPr="00E57CA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Une adresse mail a été mise en p</w:t>
      </w:r>
      <w:r w:rsidR="00392F90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ace pour permettre aux communes de faire part de leurs travaux au concessionnaire (</w:t>
      </w:r>
      <w:hyperlink r:id="rId7" w:history="1">
        <w:r w:rsidRPr="00A61552">
          <w:rPr>
            <w:rStyle w:val="Lienhypertexte"/>
            <w:rFonts w:asciiTheme="minorHAnsi" w:hAnsiTheme="minorHAnsi" w:cstheme="minorHAnsi"/>
          </w:rPr>
          <w:t>coordinationtravaux@losange-deploiement.fr</w:t>
        </w:r>
      </w:hyperlink>
      <w:r>
        <w:rPr>
          <w:rFonts w:asciiTheme="minorHAnsi" w:hAnsiTheme="minorHAnsi" w:cstheme="minorHAnsi"/>
        </w:rPr>
        <w:t xml:space="preserve">) ; </w:t>
      </w:r>
      <w:r w:rsidR="00392F90">
        <w:rPr>
          <w:rFonts w:asciiTheme="minorHAnsi" w:hAnsiTheme="minorHAnsi" w:cstheme="minorHAnsi"/>
        </w:rPr>
        <w:t>il est recommandé d’indiquer le département concerné (des homonymes de communes existent dans le Grand Est</w:t>
      </w:r>
      <w:r w:rsidR="00392F90">
        <w:rPr>
          <w:rFonts w:asciiTheme="minorHAnsi" w:hAnsiTheme="minorHAnsi" w:cstheme="minorHAnsi"/>
        </w:rPr>
        <w:t>). L’objectif est d’éviter de faire des travaux deux fois de suite au même endroit. Losange adaptera donc son planning de travaux aux projets communaux, dans la mesure du possible.</w:t>
      </w:r>
    </w:p>
    <w:p w:rsidR="00E57CAB" w:rsidRDefault="00E57CAB" w:rsidP="00DB11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Communauté de Communes sera destinataire d’une copie des courriers adressées </w:t>
      </w:r>
      <w:r w:rsidR="007C41E0">
        <w:rPr>
          <w:rFonts w:asciiTheme="minorHAnsi" w:hAnsiTheme="minorHAnsi" w:cstheme="minorHAnsi"/>
        </w:rPr>
        <w:t>aux communes</w:t>
      </w:r>
      <w:r>
        <w:rPr>
          <w:rFonts w:asciiTheme="minorHAnsi" w:hAnsiTheme="minorHAnsi" w:cstheme="minorHAnsi"/>
        </w:rPr>
        <w:t xml:space="preserve"> afin d’être tenue informée.</w:t>
      </w:r>
    </w:p>
    <w:p w:rsidR="00392F90" w:rsidRDefault="00392F90" w:rsidP="00DB1195">
      <w:pPr>
        <w:jc w:val="both"/>
        <w:rPr>
          <w:rFonts w:asciiTheme="minorHAnsi" w:hAnsiTheme="minorHAnsi" w:cstheme="minorHAnsi"/>
        </w:rPr>
      </w:pPr>
    </w:p>
    <w:p w:rsidR="004A6E43" w:rsidRDefault="00E57CAB" w:rsidP="00DB11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concessionnaire rappelle que </w:t>
      </w:r>
      <w:r w:rsidR="007C41E0">
        <w:rPr>
          <w:rFonts w:asciiTheme="minorHAnsi" w:hAnsiTheme="minorHAnsi" w:cstheme="minorHAnsi"/>
        </w:rPr>
        <w:t>tout nouveau permis de construire doit prévoir un pré-raccordement (c’est-à-dire de la limite de parcelle jusqu’à l’habitation).</w:t>
      </w:r>
    </w:p>
    <w:p w:rsidR="00392F90" w:rsidRDefault="00392F90" w:rsidP="00DB1195">
      <w:pPr>
        <w:jc w:val="both"/>
        <w:rPr>
          <w:rFonts w:asciiTheme="minorHAnsi" w:hAnsiTheme="minorHAnsi" w:cstheme="minorHAnsi"/>
        </w:rPr>
      </w:pPr>
    </w:p>
    <w:p w:rsidR="00392F90" w:rsidRDefault="00392F90" w:rsidP="00DB1195">
      <w:pPr>
        <w:jc w:val="both"/>
        <w:rPr>
          <w:rFonts w:asciiTheme="minorHAnsi" w:hAnsiTheme="minorHAnsi" w:cstheme="minorHAnsi"/>
        </w:rPr>
      </w:pPr>
    </w:p>
    <w:p w:rsidR="007C41E0" w:rsidRDefault="007C41E0" w:rsidP="00DB1195">
      <w:pPr>
        <w:jc w:val="both"/>
        <w:rPr>
          <w:rFonts w:asciiTheme="minorHAnsi" w:hAnsiTheme="minorHAnsi" w:cstheme="minorHAnsi"/>
          <w:b/>
          <w:u w:val="single"/>
        </w:rPr>
      </w:pPr>
      <w:r w:rsidRPr="009D67F3">
        <w:rPr>
          <w:rFonts w:asciiTheme="minorHAnsi" w:hAnsiTheme="minorHAnsi" w:cstheme="minorHAnsi"/>
          <w:b/>
          <w:u w:val="single"/>
        </w:rPr>
        <w:t>Financement de l’opération</w:t>
      </w:r>
    </w:p>
    <w:p w:rsidR="00CC2CB9" w:rsidRPr="009D67F3" w:rsidRDefault="00CC2CB9" w:rsidP="00DB1195">
      <w:pPr>
        <w:jc w:val="both"/>
        <w:rPr>
          <w:rFonts w:asciiTheme="minorHAnsi" w:hAnsiTheme="minorHAnsi" w:cstheme="minorHAnsi"/>
          <w:b/>
          <w:u w:val="single"/>
        </w:rPr>
      </w:pPr>
    </w:p>
    <w:p w:rsidR="00392F90" w:rsidRDefault="007C41E0" w:rsidP="00DB11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convention financière qui sera signée avec la région prévoit une participation de l’intercommunalité à hauteur de 100€ par prise</w:t>
      </w:r>
      <w:r w:rsidR="00DB1195">
        <w:rPr>
          <w:rFonts w:asciiTheme="minorHAnsi" w:hAnsiTheme="minorHAnsi" w:cstheme="minorHAnsi"/>
        </w:rPr>
        <w:t>, ce qui représente un montant de 803 300 € sur Seille et Grand Couronné. Ce chiffre ne sera pas revu à la hausse, même en cas de prise</w:t>
      </w:r>
      <w:r w:rsidR="00392F90">
        <w:rPr>
          <w:rFonts w:asciiTheme="minorHAnsi" w:hAnsiTheme="minorHAnsi" w:cstheme="minorHAnsi"/>
        </w:rPr>
        <w:t>s</w:t>
      </w:r>
      <w:r w:rsidR="00DB1195">
        <w:rPr>
          <w:rFonts w:asciiTheme="minorHAnsi" w:hAnsiTheme="minorHAnsi" w:cstheme="minorHAnsi"/>
        </w:rPr>
        <w:t xml:space="preserve"> supplémentaires à installer</w:t>
      </w:r>
      <w:r w:rsidR="00392F90">
        <w:rPr>
          <w:rFonts w:asciiTheme="minorHAnsi" w:hAnsiTheme="minorHAnsi" w:cstheme="minorHAnsi"/>
        </w:rPr>
        <w:t xml:space="preserve"> (extension urbaine, zone d’activités, …)</w:t>
      </w:r>
      <w:r w:rsidR="00DB1195">
        <w:rPr>
          <w:rFonts w:asciiTheme="minorHAnsi" w:hAnsiTheme="minorHAnsi" w:cstheme="minorHAnsi"/>
        </w:rPr>
        <w:t>.</w:t>
      </w:r>
    </w:p>
    <w:p w:rsidR="00DB1195" w:rsidRDefault="00DB1195" w:rsidP="00DB11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versement de cette contribution se fera sous forme d’une subvention d’équipement, selon deux échéanciers possibles :</w:t>
      </w:r>
    </w:p>
    <w:p w:rsidR="00DB1195" w:rsidRDefault="00DB1195" w:rsidP="00DB1195">
      <w:pPr>
        <w:pStyle w:val="Paragraphedeliste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Sur la base du calendrier prévisionnel des travaux (avec les risques de report qui existent en cas de retard)</w:t>
      </w:r>
    </w:p>
    <w:p w:rsidR="00D80BFA" w:rsidRDefault="00DB1195" w:rsidP="00DB1195">
      <w:pPr>
        <w:pStyle w:val="Paragraphedeliste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Sur la base d’un lissage sur 5 ans (20% du montant total par an)</w:t>
      </w:r>
    </w:p>
    <w:p w:rsidR="00DB1195" w:rsidRPr="00D80BFA" w:rsidRDefault="00DB1195" w:rsidP="00D80BFA">
      <w:pPr>
        <w:jc w:val="both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>Il est précisé que les extensions futures seront à la charge du concessionnaire.</w:t>
      </w:r>
    </w:p>
    <w:p w:rsidR="00DB1195" w:rsidRDefault="00DB1195" w:rsidP="00DB1195">
      <w:pPr>
        <w:pStyle w:val="Paragraphedeliste"/>
        <w:jc w:val="both"/>
        <w:rPr>
          <w:rFonts w:cstheme="minorHAnsi"/>
        </w:rPr>
      </w:pPr>
    </w:p>
    <w:p w:rsidR="00392F90" w:rsidRDefault="00392F90" w:rsidP="00DB1195">
      <w:pPr>
        <w:pStyle w:val="Paragraphedeliste"/>
        <w:jc w:val="both"/>
        <w:rPr>
          <w:rFonts w:cstheme="minorHAnsi"/>
        </w:rPr>
      </w:pPr>
    </w:p>
    <w:p w:rsidR="00DB1195" w:rsidRDefault="00DB1195" w:rsidP="00392F90">
      <w:pPr>
        <w:pStyle w:val="Paragraphedeliste"/>
        <w:ind w:left="0"/>
        <w:jc w:val="both"/>
        <w:rPr>
          <w:rFonts w:cstheme="minorHAnsi"/>
          <w:b/>
          <w:u w:val="single"/>
        </w:rPr>
      </w:pPr>
      <w:r w:rsidRPr="009D67F3">
        <w:rPr>
          <w:rFonts w:cstheme="minorHAnsi"/>
          <w:b/>
          <w:u w:val="single"/>
        </w:rPr>
        <w:t>Le service</w:t>
      </w:r>
    </w:p>
    <w:p w:rsidR="00392F90" w:rsidRPr="009D67F3" w:rsidRDefault="00392F90" w:rsidP="00392F90">
      <w:pPr>
        <w:pStyle w:val="Paragraphedeliste"/>
        <w:ind w:left="0"/>
        <w:jc w:val="both"/>
        <w:rPr>
          <w:rFonts w:cstheme="minorHAnsi"/>
          <w:b/>
          <w:u w:val="single"/>
        </w:rPr>
      </w:pPr>
    </w:p>
    <w:p w:rsidR="00FE5071" w:rsidRDefault="00DB1195" w:rsidP="00392F90">
      <w:pPr>
        <w:pStyle w:val="Paragraphedeliste"/>
        <w:ind w:left="0"/>
        <w:jc w:val="both"/>
        <w:rPr>
          <w:rFonts w:cstheme="minorHAnsi"/>
        </w:rPr>
      </w:pPr>
      <w:r>
        <w:rPr>
          <w:rFonts w:cstheme="minorHAnsi"/>
        </w:rPr>
        <w:t>Losange prévoit le déploiement de deux brins de fibre chez l’abonné, pour un débit provisionné à 1 Go</w:t>
      </w:r>
      <w:r w:rsidR="00FE5071">
        <w:rPr>
          <w:rFonts w:cstheme="minorHAnsi"/>
        </w:rPr>
        <w:t> :</w:t>
      </w:r>
    </w:p>
    <w:p w:rsidR="00FE5071" w:rsidRDefault="00FE5071" w:rsidP="00392F90">
      <w:pPr>
        <w:pStyle w:val="Paragraphedeliste"/>
        <w:numPr>
          <w:ilvl w:val="1"/>
          <w:numId w:val="9"/>
        </w:numPr>
        <w:ind w:left="720"/>
        <w:jc w:val="both"/>
        <w:rPr>
          <w:rFonts w:cstheme="minorHAnsi"/>
        </w:rPr>
      </w:pPr>
      <w:r>
        <w:rPr>
          <w:rFonts w:cstheme="minorHAnsi"/>
        </w:rPr>
        <w:t>Un brin pour les usages actuels</w:t>
      </w:r>
    </w:p>
    <w:p w:rsidR="00FE5071" w:rsidRDefault="00FE5071" w:rsidP="00392F90">
      <w:pPr>
        <w:pStyle w:val="Paragraphedeliste"/>
        <w:numPr>
          <w:ilvl w:val="1"/>
          <w:numId w:val="9"/>
        </w:numPr>
        <w:ind w:left="720"/>
        <w:jc w:val="both"/>
        <w:rPr>
          <w:rFonts w:cstheme="minorHAnsi"/>
        </w:rPr>
      </w:pPr>
      <w:r>
        <w:rPr>
          <w:rFonts w:cstheme="minorHAnsi"/>
        </w:rPr>
        <w:t>Un brin pour de potentiels usages futurs comme la domotique ou le maintien à domicile</w:t>
      </w:r>
    </w:p>
    <w:p w:rsidR="00392F90" w:rsidRDefault="00392F90" w:rsidP="00392F90">
      <w:pPr>
        <w:jc w:val="both"/>
        <w:rPr>
          <w:rFonts w:asciiTheme="minorHAnsi" w:hAnsiTheme="minorHAnsi" w:cstheme="minorHAnsi"/>
        </w:rPr>
      </w:pPr>
    </w:p>
    <w:p w:rsidR="00FE5071" w:rsidRPr="00FE5071" w:rsidRDefault="00392F90" w:rsidP="00392F90">
      <w:pPr>
        <w:jc w:val="both"/>
        <w:rPr>
          <w:rFonts w:cstheme="minorHAnsi"/>
        </w:rPr>
      </w:pPr>
      <w:r>
        <w:rPr>
          <w:rFonts w:asciiTheme="minorHAnsi" w:hAnsiTheme="minorHAnsi" w:cstheme="minorHAnsi"/>
        </w:rPr>
        <w:t>Le concessionnaire est chargé de l’infrastructure, il louera les réseaux construits aux fournisseurs d’accès internet qui proposeront des offres d’abonnement aux habitants. Pour l’instant, 9 opérateurs ont fait la demande d’accès au réseau qui sera construit par losange ; parmi les grands opérateurs, seul orange ne l’a pas fait à l’heure actuelle.</w:t>
      </w:r>
    </w:p>
    <w:p w:rsidR="00DB1195" w:rsidRDefault="00FE5071" w:rsidP="00392F90">
      <w:pPr>
        <w:pStyle w:val="Paragraphedeliste"/>
        <w:ind w:left="0"/>
        <w:jc w:val="both"/>
        <w:rPr>
          <w:rFonts w:cstheme="minorHAnsi"/>
        </w:rPr>
      </w:pPr>
      <w:r>
        <w:rPr>
          <w:rFonts w:cstheme="minorHAnsi"/>
        </w:rPr>
        <w:t>Des offres spécifiques à destination des entreprises seront également mises en place. Si elles sont plus chères, elles garantissent un certain nombre de services supplémentaires (</w:t>
      </w:r>
      <w:bookmarkStart w:id="0" w:name="_GoBack"/>
      <w:bookmarkEnd w:id="0"/>
      <w:r>
        <w:rPr>
          <w:rFonts w:cstheme="minorHAnsi"/>
        </w:rPr>
        <w:t>rapidité du dépannage éventuel par exemple).</w:t>
      </w:r>
    </w:p>
    <w:p w:rsidR="00FE5071" w:rsidRDefault="00FE5071" w:rsidP="00392F90">
      <w:pPr>
        <w:pStyle w:val="Paragraphedeliste"/>
        <w:ind w:left="0"/>
        <w:jc w:val="both"/>
        <w:rPr>
          <w:rFonts w:cstheme="minorHAnsi"/>
        </w:rPr>
      </w:pPr>
    </w:p>
    <w:p w:rsidR="00392F90" w:rsidRDefault="00392F90" w:rsidP="00392F90">
      <w:pPr>
        <w:pStyle w:val="Paragraphedeliste"/>
        <w:ind w:left="0"/>
        <w:jc w:val="both"/>
        <w:rPr>
          <w:rFonts w:cstheme="minorHAnsi"/>
        </w:rPr>
      </w:pPr>
    </w:p>
    <w:p w:rsidR="00FE5071" w:rsidRDefault="00CC2CB9" w:rsidP="00392F90">
      <w:pPr>
        <w:pStyle w:val="Paragraphedeliste"/>
        <w:ind w:left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La c</w:t>
      </w:r>
      <w:r w:rsidR="00FE5071" w:rsidRPr="009D67F3">
        <w:rPr>
          <w:rFonts w:cstheme="minorHAnsi"/>
          <w:b/>
          <w:u w:val="single"/>
        </w:rPr>
        <w:t>ommunication</w:t>
      </w:r>
    </w:p>
    <w:p w:rsidR="00392F90" w:rsidRPr="009D67F3" w:rsidRDefault="00392F90" w:rsidP="00392F90">
      <w:pPr>
        <w:pStyle w:val="Paragraphedeliste"/>
        <w:ind w:left="0"/>
        <w:jc w:val="both"/>
        <w:rPr>
          <w:rFonts w:cstheme="minorHAnsi"/>
          <w:b/>
          <w:u w:val="single"/>
        </w:rPr>
      </w:pPr>
    </w:p>
    <w:p w:rsidR="00FE5071" w:rsidRDefault="00FE5071" w:rsidP="00392F90">
      <w:pPr>
        <w:pStyle w:val="Paragraphedeliste"/>
        <w:ind w:left="0"/>
        <w:jc w:val="both"/>
        <w:rPr>
          <w:rFonts w:cstheme="minorHAnsi"/>
        </w:rPr>
      </w:pPr>
      <w:r>
        <w:rPr>
          <w:rFonts w:cstheme="minorHAnsi"/>
        </w:rPr>
        <w:t xml:space="preserve">Les habitants auront la possibilité de s’abonner à une newsletter personnalisée selon leur commune d’habitation, pour les tenir informé des différentes phases de travaux. Dans le magazine communautaire qui paraitra en janvier, un dossier sera consacré à </w:t>
      </w:r>
      <w:r w:rsidR="00392F90">
        <w:rPr>
          <w:rFonts w:cstheme="minorHAnsi"/>
        </w:rPr>
        <w:t>l</w:t>
      </w:r>
      <w:r>
        <w:rPr>
          <w:rFonts w:cstheme="minorHAnsi"/>
        </w:rPr>
        <w:t xml:space="preserve">a question du déploiement de la fibre. </w:t>
      </w:r>
    </w:p>
    <w:p w:rsidR="00FE5071" w:rsidRDefault="00FE5071" w:rsidP="00DB1195">
      <w:pPr>
        <w:pStyle w:val="Paragraphedeliste"/>
        <w:jc w:val="both"/>
        <w:rPr>
          <w:rFonts w:cstheme="minorHAnsi"/>
        </w:rPr>
      </w:pPr>
    </w:p>
    <w:p w:rsidR="00FE5071" w:rsidRDefault="00FE5071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Default="00CC2CB9" w:rsidP="00DB1195">
      <w:pPr>
        <w:pStyle w:val="Paragraphedeliste"/>
        <w:jc w:val="both"/>
        <w:rPr>
          <w:rFonts w:cstheme="minorHAnsi"/>
        </w:rPr>
      </w:pPr>
    </w:p>
    <w:p w:rsidR="00CC2CB9" w:rsidRPr="00DB1195" w:rsidRDefault="00CC2CB9" w:rsidP="00DB1195">
      <w:pPr>
        <w:pStyle w:val="Paragraphedeliste"/>
        <w:jc w:val="both"/>
        <w:rPr>
          <w:rFonts w:cstheme="minorHAnsi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0"/>
        <w:gridCol w:w="2286"/>
        <w:gridCol w:w="3624"/>
      </w:tblGrid>
      <w:tr w:rsidR="00CC2CB9" w:rsidRPr="00CC2CB9" w:rsidTr="00CC2CB9">
        <w:trPr>
          <w:trHeight w:val="1320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CB9" w:rsidRPr="00CC2CB9" w:rsidRDefault="00CC2CB9" w:rsidP="00CC2CB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CC2CB9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Calendrier de dép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l</w:t>
            </w:r>
            <w:r w:rsidRPr="00CC2CB9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oi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e</w:t>
            </w:r>
            <w:r w:rsidRPr="00CC2CB9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ment du THD par commune d'après les informations transmises par Losange</w:t>
            </w:r>
          </w:p>
        </w:tc>
      </w:tr>
      <w:tr w:rsidR="00CC2CB9" w:rsidRPr="00CC2CB9" w:rsidTr="00CC2CB9">
        <w:trPr>
          <w:trHeight w:val="31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b/>
                <w:bCs/>
                <w:color w:val="305496"/>
                <w:sz w:val="24"/>
                <w:szCs w:val="24"/>
              </w:rPr>
            </w:pPr>
            <w:r w:rsidRPr="00CC2CB9">
              <w:rPr>
                <w:rFonts w:ascii="Calibri" w:hAnsi="Calibri"/>
                <w:b/>
                <w:bCs/>
                <w:color w:val="305496"/>
                <w:sz w:val="24"/>
                <w:szCs w:val="24"/>
              </w:rPr>
              <w:t>Commune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b/>
                <w:bCs/>
                <w:color w:val="305496"/>
                <w:sz w:val="24"/>
                <w:szCs w:val="24"/>
              </w:rPr>
            </w:pPr>
            <w:r w:rsidRPr="00CC2CB9">
              <w:rPr>
                <w:rFonts w:ascii="Calibri" w:hAnsi="Calibri"/>
                <w:b/>
                <w:bCs/>
                <w:color w:val="305496"/>
                <w:sz w:val="24"/>
                <w:szCs w:val="24"/>
              </w:rPr>
              <w:t>Nombre de prises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b/>
                <w:bCs/>
                <w:color w:val="305496"/>
                <w:sz w:val="24"/>
                <w:szCs w:val="24"/>
              </w:rPr>
            </w:pPr>
            <w:r w:rsidRPr="00CC2CB9">
              <w:rPr>
                <w:rFonts w:ascii="Calibri" w:hAnsi="Calibri"/>
                <w:b/>
                <w:bCs/>
                <w:color w:val="305496"/>
                <w:sz w:val="24"/>
                <w:szCs w:val="24"/>
              </w:rPr>
              <w:t>Démarrage des travaux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ABAUCOURT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161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2022 et février 2023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AGINCOURT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219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2019 et août 2020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AMANCE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187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2021 et août 2022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ARMAUCOURT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117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2020 et août 2021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ARRAYE-ET-HAN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175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2019 et août 2020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BELLEAU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377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2022 et février 2023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BEY-SUR-SEILLE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75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2019 et août 2020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BOUXIERES-AUX-CHENES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737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2020 et août 2021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BRATTE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25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2022 et février 2023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BRIN-SUR-SEILLE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371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2020 et août 2021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BUISSONCOURT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127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2018 et août 2019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CERVILLE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257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2022 et février 2023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CHAMPENOUX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730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2020 et août 2021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CHENICOURT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100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2019 et août 2020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CLEMERY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232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2019 et août 2020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DOMMARTIN-SOUS-AMANCE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143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2019 et août 2020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EPLY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143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2019 et août 2020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ERBEVILLER-SUR-AMEZULE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58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2020 et août 2021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EULMONT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488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2018 et août 2019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GELLENONCOURT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35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2020 et août 2021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HARAUCOURT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405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2018 et août 2019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JEANDELAINCOURT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386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2022 et février 2023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LAITRE-SOUS-AMANCE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187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2022 et février 2023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LANEUVELOTTE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182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2019 et août 2020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LANFROICOURT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81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2019 et août 2020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LENONCOURT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299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2018 et août 2019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LETRICOURT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98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2019 et août 2020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LEYR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426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2022 et février 2023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MAILLY-SUR-SEILLE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126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2019 et août 2020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MAZERULLES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125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2022 et février 2023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MOIVRONS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220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2019 et août 2020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MONCEL-SUR-SEILLE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221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2020 et août 2021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NOMENY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612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2022 et février 2023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PHLIN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24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2019 et août 2020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RAUCOURT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110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2019 et août 2020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REMEREVILLE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276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2021 et août 2022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ROUVES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42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2022 et février 2023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SIVRY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106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2022 et février 2023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SORNEVILLE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210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2018 et août 2019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THEZEY-SAINT-MARTIN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101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2019 et août 2020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VELAINE-SOUS-AMANCE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142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2019 et août 2020</w:t>
            </w:r>
          </w:p>
        </w:tc>
      </w:tr>
      <w:tr w:rsidR="00CC2CB9" w:rsidRPr="00CC2CB9" w:rsidTr="00CC2CB9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VILLERS-LES-MOIVRONS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r w:rsidRPr="00CC2CB9">
              <w:rPr>
                <w:rFonts w:ascii="Calibri" w:hAnsi="Calibri"/>
                <w:color w:val="305496"/>
                <w:szCs w:val="22"/>
              </w:rPr>
              <w:t>69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CB9" w:rsidRPr="00CC2CB9" w:rsidRDefault="00CC2CB9" w:rsidP="00CC2CB9">
            <w:pPr>
              <w:rPr>
                <w:rFonts w:ascii="Calibri" w:hAnsi="Calibri"/>
                <w:color w:val="305496"/>
                <w:szCs w:val="22"/>
              </w:rPr>
            </w:pPr>
            <w:proofErr w:type="gramStart"/>
            <w:r w:rsidRPr="00CC2CB9">
              <w:rPr>
                <w:rFonts w:ascii="Calibri" w:hAnsi="Calibri"/>
                <w:color w:val="305496"/>
                <w:szCs w:val="22"/>
              </w:rPr>
              <w:t>entre</w:t>
            </w:r>
            <w:proofErr w:type="gramEnd"/>
            <w:r w:rsidRPr="00CC2CB9">
              <w:rPr>
                <w:rFonts w:ascii="Calibri" w:hAnsi="Calibri"/>
                <w:color w:val="305496"/>
                <w:szCs w:val="22"/>
              </w:rPr>
              <w:t xml:space="preserve"> août 2021 et août 2022</w:t>
            </w:r>
          </w:p>
        </w:tc>
      </w:tr>
    </w:tbl>
    <w:p w:rsidR="004A6E43" w:rsidRPr="005B6573" w:rsidRDefault="004A6E43" w:rsidP="005B6573">
      <w:pPr>
        <w:rPr>
          <w:rFonts w:asciiTheme="minorHAnsi" w:hAnsiTheme="minorHAnsi" w:cstheme="minorHAnsi"/>
        </w:rPr>
      </w:pPr>
    </w:p>
    <w:sectPr w:rsidR="004A6E43" w:rsidRPr="005B6573" w:rsidSect="008A00C4">
      <w:pgSz w:w="11906" w:h="16838" w:code="9"/>
      <w:pgMar w:top="902" w:right="1106" w:bottom="720" w:left="958" w:header="181" w:footer="4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FD9"/>
    <w:multiLevelType w:val="hybridMultilevel"/>
    <w:tmpl w:val="55E0D6AE"/>
    <w:lvl w:ilvl="0" w:tplc="5F440AB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53D7"/>
    <w:multiLevelType w:val="multilevel"/>
    <w:tmpl w:val="2D58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A377B"/>
    <w:multiLevelType w:val="hybridMultilevel"/>
    <w:tmpl w:val="75D60EEE"/>
    <w:lvl w:ilvl="0" w:tplc="1D441B2C">
      <w:start w:val="1"/>
      <w:numFmt w:val="bullet"/>
      <w:lvlText w:val="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4389D"/>
    <w:multiLevelType w:val="hybridMultilevel"/>
    <w:tmpl w:val="095C482A"/>
    <w:lvl w:ilvl="0" w:tplc="57DAD99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E25BD"/>
    <w:multiLevelType w:val="hybridMultilevel"/>
    <w:tmpl w:val="3D182378"/>
    <w:lvl w:ilvl="0" w:tplc="1BF6E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37747E"/>
    <w:multiLevelType w:val="hybridMultilevel"/>
    <w:tmpl w:val="A3C66134"/>
    <w:lvl w:ilvl="0" w:tplc="8CF2856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E70A7"/>
    <w:multiLevelType w:val="multilevel"/>
    <w:tmpl w:val="2D58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495752"/>
    <w:multiLevelType w:val="hybridMultilevel"/>
    <w:tmpl w:val="2FCC223E"/>
    <w:lvl w:ilvl="0" w:tplc="1BF6E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C7539A"/>
    <w:multiLevelType w:val="hybridMultilevel"/>
    <w:tmpl w:val="B450DAE6"/>
    <w:lvl w:ilvl="0" w:tplc="006A1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4501C"/>
    <w:multiLevelType w:val="hybridMultilevel"/>
    <w:tmpl w:val="D1B47ED8"/>
    <w:lvl w:ilvl="0" w:tplc="60D89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77"/>
    <w:rsid w:val="00003502"/>
    <w:rsid w:val="0001695A"/>
    <w:rsid w:val="000174FA"/>
    <w:rsid w:val="00031A5C"/>
    <w:rsid w:val="00050F07"/>
    <w:rsid w:val="00052DF4"/>
    <w:rsid w:val="00052FD3"/>
    <w:rsid w:val="00065448"/>
    <w:rsid w:val="00073363"/>
    <w:rsid w:val="000807BE"/>
    <w:rsid w:val="0009112D"/>
    <w:rsid w:val="000A433A"/>
    <w:rsid w:val="000A7472"/>
    <w:rsid w:val="000B075A"/>
    <w:rsid w:val="000B3324"/>
    <w:rsid w:val="000C05AB"/>
    <w:rsid w:val="000D2A12"/>
    <w:rsid w:val="000D2DEE"/>
    <w:rsid w:val="000E288B"/>
    <w:rsid w:val="000E2AA1"/>
    <w:rsid w:val="000E3097"/>
    <w:rsid w:val="000E4609"/>
    <w:rsid w:val="000F10CD"/>
    <w:rsid w:val="000F2936"/>
    <w:rsid w:val="00107BDC"/>
    <w:rsid w:val="0012073D"/>
    <w:rsid w:val="00121AA9"/>
    <w:rsid w:val="00126BB5"/>
    <w:rsid w:val="0013554E"/>
    <w:rsid w:val="00153882"/>
    <w:rsid w:val="00156646"/>
    <w:rsid w:val="00156C05"/>
    <w:rsid w:val="00192882"/>
    <w:rsid w:val="001A04D9"/>
    <w:rsid w:val="001A1EC3"/>
    <w:rsid w:val="001A41A7"/>
    <w:rsid w:val="001A4A23"/>
    <w:rsid w:val="001C6591"/>
    <w:rsid w:val="001D60DE"/>
    <w:rsid w:val="001E3756"/>
    <w:rsid w:val="001E4B52"/>
    <w:rsid w:val="001F3041"/>
    <w:rsid w:val="00204C92"/>
    <w:rsid w:val="00210500"/>
    <w:rsid w:val="00216109"/>
    <w:rsid w:val="00216295"/>
    <w:rsid w:val="00232846"/>
    <w:rsid w:val="00232FDD"/>
    <w:rsid w:val="00253D33"/>
    <w:rsid w:val="0028094D"/>
    <w:rsid w:val="002870C1"/>
    <w:rsid w:val="002A5E2A"/>
    <w:rsid w:val="002C7EC8"/>
    <w:rsid w:val="002D2284"/>
    <w:rsid w:val="002D2F6B"/>
    <w:rsid w:val="002D71A1"/>
    <w:rsid w:val="002D7F87"/>
    <w:rsid w:val="002E1917"/>
    <w:rsid w:val="002E5BA6"/>
    <w:rsid w:val="002F58F2"/>
    <w:rsid w:val="0030165B"/>
    <w:rsid w:val="003043B2"/>
    <w:rsid w:val="00305BA5"/>
    <w:rsid w:val="00322B37"/>
    <w:rsid w:val="00324CA2"/>
    <w:rsid w:val="003276E0"/>
    <w:rsid w:val="003416FB"/>
    <w:rsid w:val="00360A6D"/>
    <w:rsid w:val="00364AD0"/>
    <w:rsid w:val="00373BAA"/>
    <w:rsid w:val="00392F90"/>
    <w:rsid w:val="00393362"/>
    <w:rsid w:val="00394B91"/>
    <w:rsid w:val="00396204"/>
    <w:rsid w:val="003A3670"/>
    <w:rsid w:val="003B592C"/>
    <w:rsid w:val="003D3430"/>
    <w:rsid w:val="003E1AC0"/>
    <w:rsid w:val="003F32E5"/>
    <w:rsid w:val="00435CB7"/>
    <w:rsid w:val="00441B93"/>
    <w:rsid w:val="00442D77"/>
    <w:rsid w:val="004615E6"/>
    <w:rsid w:val="00463974"/>
    <w:rsid w:val="004644C6"/>
    <w:rsid w:val="00490374"/>
    <w:rsid w:val="00495C86"/>
    <w:rsid w:val="004A1181"/>
    <w:rsid w:val="004A6E43"/>
    <w:rsid w:val="004B5813"/>
    <w:rsid w:val="004B635A"/>
    <w:rsid w:val="004D1032"/>
    <w:rsid w:val="004E1BCD"/>
    <w:rsid w:val="004E3A66"/>
    <w:rsid w:val="004E4BAD"/>
    <w:rsid w:val="004F072A"/>
    <w:rsid w:val="004F3539"/>
    <w:rsid w:val="00500204"/>
    <w:rsid w:val="005031E0"/>
    <w:rsid w:val="00505F72"/>
    <w:rsid w:val="0050682C"/>
    <w:rsid w:val="00530A64"/>
    <w:rsid w:val="00531175"/>
    <w:rsid w:val="00534666"/>
    <w:rsid w:val="00536B16"/>
    <w:rsid w:val="005454AC"/>
    <w:rsid w:val="005521D9"/>
    <w:rsid w:val="005560CA"/>
    <w:rsid w:val="00565D04"/>
    <w:rsid w:val="00567FDC"/>
    <w:rsid w:val="00571F6D"/>
    <w:rsid w:val="00590519"/>
    <w:rsid w:val="00593346"/>
    <w:rsid w:val="005978DC"/>
    <w:rsid w:val="005A2266"/>
    <w:rsid w:val="005B0ADA"/>
    <w:rsid w:val="005B189B"/>
    <w:rsid w:val="005B18E5"/>
    <w:rsid w:val="005B6573"/>
    <w:rsid w:val="005C05E0"/>
    <w:rsid w:val="005C36F1"/>
    <w:rsid w:val="005C4F33"/>
    <w:rsid w:val="005C54CD"/>
    <w:rsid w:val="005D61DF"/>
    <w:rsid w:val="005D661A"/>
    <w:rsid w:val="005E28DC"/>
    <w:rsid w:val="005F4980"/>
    <w:rsid w:val="00605948"/>
    <w:rsid w:val="00612292"/>
    <w:rsid w:val="0061799D"/>
    <w:rsid w:val="00630745"/>
    <w:rsid w:val="00633E57"/>
    <w:rsid w:val="00650C59"/>
    <w:rsid w:val="00672CE7"/>
    <w:rsid w:val="00677B7D"/>
    <w:rsid w:val="00680464"/>
    <w:rsid w:val="006811CE"/>
    <w:rsid w:val="0068746C"/>
    <w:rsid w:val="00696F94"/>
    <w:rsid w:val="006D2C98"/>
    <w:rsid w:val="006E1190"/>
    <w:rsid w:val="006E5204"/>
    <w:rsid w:val="006E5D4F"/>
    <w:rsid w:val="006F7415"/>
    <w:rsid w:val="007046B5"/>
    <w:rsid w:val="00721586"/>
    <w:rsid w:val="00733CA5"/>
    <w:rsid w:val="00754E17"/>
    <w:rsid w:val="007571A8"/>
    <w:rsid w:val="007603AF"/>
    <w:rsid w:val="00767DDD"/>
    <w:rsid w:val="00776219"/>
    <w:rsid w:val="00780866"/>
    <w:rsid w:val="00782D91"/>
    <w:rsid w:val="007841C9"/>
    <w:rsid w:val="0079258C"/>
    <w:rsid w:val="007B1B67"/>
    <w:rsid w:val="007B6483"/>
    <w:rsid w:val="007C41E0"/>
    <w:rsid w:val="007C6047"/>
    <w:rsid w:val="007C7D04"/>
    <w:rsid w:val="007D195B"/>
    <w:rsid w:val="007E017D"/>
    <w:rsid w:val="007F360E"/>
    <w:rsid w:val="00801BEE"/>
    <w:rsid w:val="00802F94"/>
    <w:rsid w:val="0080770E"/>
    <w:rsid w:val="0082606A"/>
    <w:rsid w:val="00827A4E"/>
    <w:rsid w:val="00840EF7"/>
    <w:rsid w:val="0084590B"/>
    <w:rsid w:val="00846B11"/>
    <w:rsid w:val="008543A1"/>
    <w:rsid w:val="00860D97"/>
    <w:rsid w:val="00861157"/>
    <w:rsid w:val="00871749"/>
    <w:rsid w:val="00872269"/>
    <w:rsid w:val="008927A1"/>
    <w:rsid w:val="008A00C4"/>
    <w:rsid w:val="008A01E9"/>
    <w:rsid w:val="008A2FA9"/>
    <w:rsid w:val="008B131D"/>
    <w:rsid w:val="008B3D87"/>
    <w:rsid w:val="008C1292"/>
    <w:rsid w:val="008D02A0"/>
    <w:rsid w:val="008E3198"/>
    <w:rsid w:val="008E538A"/>
    <w:rsid w:val="008E731E"/>
    <w:rsid w:val="009064D1"/>
    <w:rsid w:val="00920279"/>
    <w:rsid w:val="00922C2B"/>
    <w:rsid w:val="009238EC"/>
    <w:rsid w:val="00927405"/>
    <w:rsid w:val="009622F9"/>
    <w:rsid w:val="00963DAA"/>
    <w:rsid w:val="00965C9D"/>
    <w:rsid w:val="009740F4"/>
    <w:rsid w:val="00980F2A"/>
    <w:rsid w:val="009902AF"/>
    <w:rsid w:val="00991814"/>
    <w:rsid w:val="0099401F"/>
    <w:rsid w:val="009C1D6C"/>
    <w:rsid w:val="009D4917"/>
    <w:rsid w:val="009D67F3"/>
    <w:rsid w:val="009D6EA8"/>
    <w:rsid w:val="009E5D68"/>
    <w:rsid w:val="009F0C4E"/>
    <w:rsid w:val="00A0030A"/>
    <w:rsid w:val="00A04E43"/>
    <w:rsid w:val="00A17883"/>
    <w:rsid w:val="00A178F4"/>
    <w:rsid w:val="00A26C5A"/>
    <w:rsid w:val="00A3036D"/>
    <w:rsid w:val="00A32598"/>
    <w:rsid w:val="00A4046F"/>
    <w:rsid w:val="00A459A3"/>
    <w:rsid w:val="00A55C36"/>
    <w:rsid w:val="00A61477"/>
    <w:rsid w:val="00A65A74"/>
    <w:rsid w:val="00A76A7E"/>
    <w:rsid w:val="00A82E17"/>
    <w:rsid w:val="00A861FC"/>
    <w:rsid w:val="00A92647"/>
    <w:rsid w:val="00A94BB4"/>
    <w:rsid w:val="00AA207F"/>
    <w:rsid w:val="00AA347C"/>
    <w:rsid w:val="00AC5481"/>
    <w:rsid w:val="00AE7175"/>
    <w:rsid w:val="00AF4CF9"/>
    <w:rsid w:val="00B07397"/>
    <w:rsid w:val="00B20BE9"/>
    <w:rsid w:val="00B247EA"/>
    <w:rsid w:val="00B2564B"/>
    <w:rsid w:val="00B27878"/>
    <w:rsid w:val="00B33C40"/>
    <w:rsid w:val="00B356EA"/>
    <w:rsid w:val="00B576F6"/>
    <w:rsid w:val="00B7429B"/>
    <w:rsid w:val="00B949CF"/>
    <w:rsid w:val="00BA0F3E"/>
    <w:rsid w:val="00BB745E"/>
    <w:rsid w:val="00BC1BCC"/>
    <w:rsid w:val="00BD2B31"/>
    <w:rsid w:val="00BE0BD4"/>
    <w:rsid w:val="00BE6145"/>
    <w:rsid w:val="00BE620D"/>
    <w:rsid w:val="00BF2460"/>
    <w:rsid w:val="00C06958"/>
    <w:rsid w:val="00C10836"/>
    <w:rsid w:val="00C214E0"/>
    <w:rsid w:val="00C24798"/>
    <w:rsid w:val="00C25448"/>
    <w:rsid w:val="00C31840"/>
    <w:rsid w:val="00C3535B"/>
    <w:rsid w:val="00C40876"/>
    <w:rsid w:val="00C43562"/>
    <w:rsid w:val="00C5460D"/>
    <w:rsid w:val="00C6515B"/>
    <w:rsid w:val="00C67D24"/>
    <w:rsid w:val="00C80A85"/>
    <w:rsid w:val="00C872EC"/>
    <w:rsid w:val="00C93697"/>
    <w:rsid w:val="00CA2E35"/>
    <w:rsid w:val="00CA6E7A"/>
    <w:rsid w:val="00CA7F47"/>
    <w:rsid w:val="00CB3542"/>
    <w:rsid w:val="00CC2CB9"/>
    <w:rsid w:val="00CC691D"/>
    <w:rsid w:val="00CC6A4A"/>
    <w:rsid w:val="00CD281A"/>
    <w:rsid w:val="00CE0965"/>
    <w:rsid w:val="00CE37F5"/>
    <w:rsid w:val="00CE5509"/>
    <w:rsid w:val="00CE5C5E"/>
    <w:rsid w:val="00CE6BCF"/>
    <w:rsid w:val="00CF4624"/>
    <w:rsid w:val="00CF6857"/>
    <w:rsid w:val="00D14C3B"/>
    <w:rsid w:val="00D1794D"/>
    <w:rsid w:val="00D23301"/>
    <w:rsid w:val="00D40595"/>
    <w:rsid w:val="00D4612B"/>
    <w:rsid w:val="00D53968"/>
    <w:rsid w:val="00D76865"/>
    <w:rsid w:val="00D80BFA"/>
    <w:rsid w:val="00DB09CE"/>
    <w:rsid w:val="00DB1195"/>
    <w:rsid w:val="00DC207E"/>
    <w:rsid w:val="00DE6543"/>
    <w:rsid w:val="00DF06A6"/>
    <w:rsid w:val="00DF54D6"/>
    <w:rsid w:val="00E00031"/>
    <w:rsid w:val="00E01D82"/>
    <w:rsid w:val="00E419EE"/>
    <w:rsid w:val="00E440F7"/>
    <w:rsid w:val="00E45A8A"/>
    <w:rsid w:val="00E57CAB"/>
    <w:rsid w:val="00E70FD9"/>
    <w:rsid w:val="00E763AF"/>
    <w:rsid w:val="00E92487"/>
    <w:rsid w:val="00EA2972"/>
    <w:rsid w:val="00EB0374"/>
    <w:rsid w:val="00EC59E8"/>
    <w:rsid w:val="00EE6307"/>
    <w:rsid w:val="00EF09E3"/>
    <w:rsid w:val="00EF31D1"/>
    <w:rsid w:val="00EF64A8"/>
    <w:rsid w:val="00EF7D65"/>
    <w:rsid w:val="00F033BC"/>
    <w:rsid w:val="00F213BF"/>
    <w:rsid w:val="00F252E0"/>
    <w:rsid w:val="00F260FA"/>
    <w:rsid w:val="00F3434A"/>
    <w:rsid w:val="00F36A9F"/>
    <w:rsid w:val="00F522E1"/>
    <w:rsid w:val="00F632EA"/>
    <w:rsid w:val="00F66137"/>
    <w:rsid w:val="00F7484A"/>
    <w:rsid w:val="00F969B5"/>
    <w:rsid w:val="00F9722D"/>
    <w:rsid w:val="00FA48F0"/>
    <w:rsid w:val="00FA70C7"/>
    <w:rsid w:val="00FB24AB"/>
    <w:rsid w:val="00FC5124"/>
    <w:rsid w:val="00FD0F6D"/>
    <w:rsid w:val="00FD3867"/>
    <w:rsid w:val="00FE5071"/>
    <w:rsid w:val="00FF4C0F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994B5"/>
  <w15:chartTrackingRefBased/>
  <w15:docId w15:val="{F28C433D-EF70-4C75-8C0F-DEEECFD3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A4A2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A41A7"/>
    <w:pPr>
      <w:ind w:left="720"/>
    </w:pPr>
    <w:rPr>
      <w:rFonts w:asciiTheme="minorHAnsi" w:eastAsiaTheme="minorHAnsi" w:hAnsiTheme="minorHAnsi" w:cstheme="minorBidi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57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ordinationtravaux@losange-deploiement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2754-D57C-4BE5-B909-7A0C8986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1021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CCGC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stagiaire</dc:creator>
  <cp:keywords/>
  <dc:description/>
  <cp:lastModifiedBy>Champ : N. Fauth</cp:lastModifiedBy>
  <cp:revision>4</cp:revision>
  <cp:lastPrinted>2018-10-23T14:10:00Z</cp:lastPrinted>
  <dcterms:created xsi:type="dcterms:W3CDTF">2018-10-24T12:24:00Z</dcterms:created>
  <dcterms:modified xsi:type="dcterms:W3CDTF">2018-10-24T16:58:00Z</dcterms:modified>
</cp:coreProperties>
</file>